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A9" w:rsidRDefault="00157CA9" w:rsidP="00157CA9">
      <w:pPr>
        <w:rPr>
          <w:rFonts w:ascii="Arial" w:hAnsi="Arial" w:cs="Arial"/>
          <w:b/>
          <w:sz w:val="24"/>
          <w:szCs w:val="24"/>
        </w:rPr>
      </w:pPr>
      <w:r w:rsidRPr="00157CA9">
        <w:rPr>
          <w:rFonts w:ascii="Arial" w:hAnsi="Arial" w:cs="Arial"/>
          <w:b/>
          <w:sz w:val="24"/>
          <w:szCs w:val="24"/>
        </w:rPr>
        <w:t>Items Raised by Members of the Forum</w:t>
      </w:r>
    </w:p>
    <w:p w:rsidR="00FF61AF" w:rsidRPr="00157CA9" w:rsidRDefault="00FF61AF" w:rsidP="00157CA9">
      <w:pPr>
        <w:rPr>
          <w:rFonts w:ascii="Arial" w:hAnsi="Arial" w:cs="Arial"/>
          <w:b/>
          <w:sz w:val="24"/>
          <w:szCs w:val="24"/>
        </w:rPr>
      </w:pPr>
    </w:p>
    <w:p w:rsidR="00157CA9" w:rsidRPr="00157CA9" w:rsidRDefault="00157CA9" w:rsidP="00FF61AF">
      <w:pPr>
        <w:rPr>
          <w:rFonts w:ascii="Arial" w:hAnsi="Arial" w:cs="Arial"/>
          <w:b/>
          <w:sz w:val="24"/>
          <w:szCs w:val="24"/>
        </w:rPr>
      </w:pPr>
      <w:r w:rsidRPr="00157CA9">
        <w:rPr>
          <w:rFonts w:ascii="Arial" w:hAnsi="Arial" w:cs="Arial"/>
          <w:b/>
          <w:sz w:val="24"/>
          <w:szCs w:val="24"/>
        </w:rPr>
        <w:t xml:space="preserve">a) Walton Arms Junction Update </w:t>
      </w:r>
    </w:p>
    <w:p w:rsidR="00157CA9" w:rsidRDefault="00BC0B88" w:rsidP="00FF61AF">
      <w:pPr>
        <w:ind w:left="720"/>
        <w:rPr>
          <w:rFonts w:ascii="Arial" w:hAnsi="Arial" w:cs="Arial"/>
          <w:sz w:val="24"/>
          <w:szCs w:val="24"/>
        </w:rPr>
      </w:pPr>
      <w:r>
        <w:rPr>
          <w:rFonts w:ascii="Arial" w:hAnsi="Arial" w:cs="Arial"/>
          <w:sz w:val="24"/>
          <w:szCs w:val="24"/>
        </w:rPr>
        <w:t>S</w:t>
      </w:r>
      <w:r w:rsidR="00157CA9" w:rsidRPr="00FF61AF">
        <w:rPr>
          <w:rFonts w:ascii="Arial" w:hAnsi="Arial" w:cs="Arial"/>
          <w:sz w:val="24"/>
          <w:szCs w:val="24"/>
        </w:rPr>
        <w:t xml:space="preserve">peed surveys </w:t>
      </w:r>
      <w:r>
        <w:rPr>
          <w:rFonts w:ascii="Arial" w:hAnsi="Arial" w:cs="Arial"/>
          <w:sz w:val="24"/>
          <w:szCs w:val="24"/>
        </w:rPr>
        <w:t xml:space="preserve">have been carried out </w:t>
      </w:r>
      <w:r w:rsidR="00157CA9" w:rsidRPr="00FF61AF">
        <w:rPr>
          <w:rFonts w:ascii="Arial" w:hAnsi="Arial" w:cs="Arial"/>
          <w:sz w:val="24"/>
          <w:szCs w:val="24"/>
        </w:rPr>
        <w:t xml:space="preserve">on the approaches to the junction.  </w:t>
      </w:r>
      <w:r>
        <w:rPr>
          <w:rFonts w:ascii="Arial" w:hAnsi="Arial" w:cs="Arial"/>
          <w:sz w:val="24"/>
          <w:szCs w:val="24"/>
        </w:rPr>
        <w:t>A</w:t>
      </w:r>
      <w:r w:rsidR="00157CA9" w:rsidRPr="00FF61AF">
        <w:rPr>
          <w:rFonts w:ascii="Arial" w:hAnsi="Arial" w:cs="Arial"/>
          <w:sz w:val="24"/>
          <w:szCs w:val="24"/>
        </w:rPr>
        <w:t xml:space="preserve">nalysis did not suggest that speeds were of concern on the approach to the junction.  Considering this and the full collision history at this junction, </w:t>
      </w:r>
      <w:r>
        <w:rPr>
          <w:rFonts w:ascii="Arial" w:hAnsi="Arial" w:cs="Arial"/>
          <w:sz w:val="24"/>
          <w:szCs w:val="24"/>
        </w:rPr>
        <w:t>the County Council</w:t>
      </w:r>
      <w:r w:rsidR="00157CA9" w:rsidRPr="00FF61AF">
        <w:rPr>
          <w:rFonts w:ascii="Arial" w:hAnsi="Arial" w:cs="Arial"/>
          <w:sz w:val="24"/>
          <w:szCs w:val="24"/>
        </w:rPr>
        <w:t xml:space="preserve"> would not be in a position to recommend prioritising this junction for the substantial investment that would be needed to reconfigure </w:t>
      </w:r>
      <w:r>
        <w:rPr>
          <w:rFonts w:ascii="Arial" w:hAnsi="Arial" w:cs="Arial"/>
          <w:sz w:val="24"/>
          <w:szCs w:val="24"/>
        </w:rPr>
        <w:t>it</w:t>
      </w:r>
      <w:r w:rsidR="00157CA9" w:rsidRPr="00FF61AF">
        <w:rPr>
          <w:rFonts w:ascii="Arial" w:hAnsi="Arial" w:cs="Arial"/>
          <w:sz w:val="24"/>
          <w:szCs w:val="24"/>
        </w:rPr>
        <w:t>.</w:t>
      </w:r>
    </w:p>
    <w:p w:rsidR="00FF61AF" w:rsidRPr="00FF61AF" w:rsidRDefault="00FF61AF" w:rsidP="00FF61AF">
      <w:pPr>
        <w:ind w:left="720"/>
        <w:rPr>
          <w:rFonts w:ascii="Arial" w:hAnsi="Arial" w:cs="Arial"/>
          <w:sz w:val="24"/>
          <w:szCs w:val="24"/>
        </w:rPr>
      </w:pPr>
    </w:p>
    <w:p w:rsidR="00FF61AF" w:rsidRDefault="00157CA9" w:rsidP="00FF61AF">
      <w:pPr>
        <w:rPr>
          <w:rFonts w:ascii="Arial" w:eastAsia="Times New Roman" w:hAnsi="Arial" w:cs="Arial"/>
          <w:b/>
          <w:sz w:val="24"/>
          <w:szCs w:val="24"/>
          <w:lang w:eastAsia="en-GB"/>
        </w:rPr>
      </w:pPr>
      <w:r w:rsidRPr="00157CA9">
        <w:rPr>
          <w:rFonts w:ascii="Arial" w:hAnsi="Arial" w:cs="Arial"/>
          <w:b/>
          <w:sz w:val="24"/>
          <w:szCs w:val="24"/>
        </w:rPr>
        <w:t>b)</w:t>
      </w:r>
      <w:r w:rsidR="00FF61AF">
        <w:rPr>
          <w:rFonts w:ascii="Arial" w:eastAsia="Times New Roman" w:hAnsi="Arial" w:cs="Arial"/>
          <w:b/>
          <w:sz w:val="24"/>
          <w:szCs w:val="24"/>
          <w:lang w:eastAsia="en-GB"/>
        </w:rPr>
        <w:t xml:space="preserve">   C</w:t>
      </w:r>
      <w:r w:rsidRPr="00157CA9">
        <w:rPr>
          <w:rFonts w:ascii="Arial" w:eastAsia="Times New Roman" w:hAnsi="Arial" w:cs="Arial"/>
          <w:b/>
          <w:sz w:val="24"/>
          <w:szCs w:val="24"/>
          <w:lang w:eastAsia="en-GB"/>
        </w:rPr>
        <w:t>ombined</w:t>
      </w:r>
      <w:r w:rsidR="00FF61AF">
        <w:rPr>
          <w:rFonts w:ascii="Arial" w:eastAsia="Times New Roman" w:hAnsi="Arial" w:cs="Arial"/>
          <w:b/>
          <w:sz w:val="24"/>
          <w:szCs w:val="24"/>
          <w:lang w:eastAsia="en-GB"/>
        </w:rPr>
        <w:t xml:space="preserve"> A</w:t>
      </w:r>
      <w:r w:rsidR="00543452">
        <w:rPr>
          <w:rFonts w:ascii="Arial" w:eastAsia="Times New Roman" w:hAnsi="Arial" w:cs="Arial"/>
          <w:b/>
          <w:sz w:val="24"/>
          <w:szCs w:val="24"/>
          <w:lang w:eastAsia="en-GB"/>
        </w:rPr>
        <w:t>uthorities</w:t>
      </w:r>
    </w:p>
    <w:p w:rsidR="00157CA9" w:rsidRPr="00FF61AF" w:rsidRDefault="00BC0B88" w:rsidP="00157CA9">
      <w:pPr>
        <w:ind w:left="720"/>
        <w:rPr>
          <w:rFonts w:ascii="Arial" w:eastAsia="Times New Roman" w:hAnsi="Arial" w:cs="Arial"/>
          <w:sz w:val="24"/>
          <w:szCs w:val="24"/>
          <w:lang w:eastAsia="en-GB"/>
        </w:rPr>
      </w:pPr>
      <w:r>
        <w:rPr>
          <w:rFonts w:ascii="Arial" w:eastAsia="Times New Roman" w:hAnsi="Arial" w:cs="Arial"/>
          <w:sz w:val="24"/>
          <w:szCs w:val="24"/>
          <w:lang w:eastAsia="en-GB"/>
        </w:rPr>
        <w:t>The</w:t>
      </w:r>
      <w:r w:rsidR="00FF61AF" w:rsidRPr="00FF61AF">
        <w:rPr>
          <w:rFonts w:ascii="Arial" w:eastAsia="Times New Roman" w:hAnsi="Arial" w:cs="Arial"/>
          <w:sz w:val="24"/>
          <w:szCs w:val="24"/>
          <w:lang w:eastAsia="en-GB"/>
        </w:rPr>
        <w:t xml:space="preserve"> use of 'combined authorities'</w:t>
      </w:r>
      <w:r w:rsidR="00157CA9" w:rsidRPr="00FF61AF">
        <w:rPr>
          <w:rFonts w:ascii="Arial" w:eastAsia="Times New Roman" w:hAnsi="Arial" w:cs="Arial"/>
          <w:sz w:val="24"/>
          <w:szCs w:val="24"/>
          <w:lang w:eastAsia="en-GB"/>
        </w:rPr>
        <w:t xml:space="preserve"> in areas such as Liverpool and Manchester, where two or more local authorities form a single body with membership from each local authority in its area, to work in partnership in relation to transport and economic development functions and submit joint bids for funding in relation to large scale strategic schemes. </w:t>
      </w:r>
    </w:p>
    <w:p w:rsidR="00157CA9" w:rsidRPr="00FF61AF" w:rsidRDefault="00157CA9" w:rsidP="00157CA9">
      <w:pPr>
        <w:ind w:left="720"/>
        <w:rPr>
          <w:rFonts w:ascii="Arial" w:eastAsia="Times New Roman" w:hAnsi="Arial" w:cs="Arial"/>
          <w:sz w:val="24"/>
          <w:szCs w:val="24"/>
          <w:lang w:eastAsia="en-GB"/>
        </w:rPr>
      </w:pPr>
      <w:r w:rsidRPr="00FF61AF">
        <w:rPr>
          <w:rFonts w:ascii="Arial" w:eastAsia="Times New Roman" w:hAnsi="Arial" w:cs="Arial"/>
          <w:sz w:val="24"/>
          <w:szCs w:val="24"/>
          <w:lang w:eastAsia="en-GB"/>
        </w:rPr>
        <w:t>The prospect of a combined authority for Lancashire - with neighbouring councils pooling certain responsibilities and budgets - is one the county council is keen to explore with partners, with a view to ensuring Lancashire communities are able to capitalise on the benefits of more lo</w:t>
      </w:r>
      <w:r w:rsidR="00543452">
        <w:rPr>
          <w:rFonts w:ascii="Arial" w:eastAsia="Times New Roman" w:hAnsi="Arial" w:cs="Arial"/>
          <w:sz w:val="24"/>
          <w:szCs w:val="24"/>
          <w:lang w:eastAsia="en-GB"/>
        </w:rPr>
        <w:t>cal decision making in future. D</w:t>
      </w:r>
      <w:r w:rsidRPr="00FF61AF">
        <w:rPr>
          <w:rFonts w:ascii="Arial" w:eastAsia="Times New Roman" w:hAnsi="Arial" w:cs="Arial"/>
          <w:sz w:val="24"/>
          <w:szCs w:val="24"/>
          <w:lang w:eastAsia="en-GB"/>
        </w:rPr>
        <w:t xml:space="preserve">iscussions are taking place between </w:t>
      </w:r>
      <w:r w:rsidR="00543452">
        <w:rPr>
          <w:rFonts w:ascii="Arial" w:eastAsia="Times New Roman" w:hAnsi="Arial" w:cs="Arial"/>
          <w:sz w:val="24"/>
          <w:szCs w:val="24"/>
          <w:lang w:eastAsia="en-GB"/>
        </w:rPr>
        <w:t xml:space="preserve">council </w:t>
      </w:r>
      <w:r w:rsidRPr="00FF61AF">
        <w:rPr>
          <w:rFonts w:ascii="Arial" w:eastAsia="Times New Roman" w:hAnsi="Arial" w:cs="Arial"/>
          <w:sz w:val="24"/>
          <w:szCs w:val="24"/>
          <w:lang w:eastAsia="en-GB"/>
        </w:rPr>
        <w:t>Leaders.</w:t>
      </w:r>
    </w:p>
    <w:p w:rsidR="00157CA9" w:rsidRPr="00157CA9" w:rsidRDefault="00157CA9" w:rsidP="00157CA9">
      <w:pPr>
        <w:ind w:left="720"/>
        <w:rPr>
          <w:rFonts w:ascii="Arial" w:eastAsia="Times New Roman" w:hAnsi="Arial" w:cs="Arial"/>
          <w:b/>
          <w:sz w:val="24"/>
          <w:szCs w:val="24"/>
          <w:lang w:eastAsia="en-GB"/>
        </w:rPr>
      </w:pPr>
    </w:p>
    <w:p w:rsidR="00FF61AF" w:rsidRDefault="00157CA9" w:rsidP="00FF61AF">
      <w:pPr>
        <w:jc w:val="both"/>
        <w:rPr>
          <w:rFonts w:ascii="Arial" w:hAnsi="Arial"/>
          <w:b/>
          <w:sz w:val="24"/>
        </w:rPr>
      </w:pPr>
      <w:r w:rsidRPr="00157CA9">
        <w:rPr>
          <w:rFonts w:ascii="Arial" w:eastAsia="Times New Roman" w:hAnsi="Arial" w:cs="Arial"/>
          <w:b/>
          <w:sz w:val="24"/>
          <w:szCs w:val="24"/>
          <w:lang w:eastAsia="en-GB"/>
        </w:rPr>
        <w:t>c)</w:t>
      </w:r>
      <w:r>
        <w:rPr>
          <w:rFonts w:ascii="Arial" w:eastAsia="Times New Roman" w:hAnsi="Arial" w:cs="Arial"/>
          <w:b/>
          <w:sz w:val="24"/>
          <w:szCs w:val="24"/>
          <w:lang w:eastAsia="en-GB"/>
        </w:rPr>
        <w:t xml:space="preserve"> </w:t>
      </w:r>
      <w:r w:rsidRPr="00157CA9">
        <w:rPr>
          <w:rFonts w:ascii="Arial" w:eastAsia="Times New Roman" w:hAnsi="Arial" w:cs="Arial"/>
          <w:b/>
          <w:sz w:val="24"/>
          <w:szCs w:val="24"/>
          <w:lang w:eastAsia="en-GB"/>
        </w:rPr>
        <w:t xml:space="preserve"> </w:t>
      </w:r>
      <w:r w:rsidR="00FF61AF">
        <w:rPr>
          <w:rFonts w:ascii="Arial" w:hAnsi="Arial"/>
          <w:b/>
          <w:sz w:val="24"/>
        </w:rPr>
        <w:t>Primary School Free Meals</w:t>
      </w:r>
    </w:p>
    <w:p w:rsidR="00157CA9" w:rsidRPr="00FF61AF" w:rsidRDefault="00157CA9" w:rsidP="00157CA9">
      <w:pPr>
        <w:ind w:left="720"/>
        <w:rPr>
          <w:rFonts w:ascii="Arial" w:eastAsia="Times New Roman" w:hAnsi="Arial" w:cs="Arial"/>
          <w:sz w:val="24"/>
          <w:szCs w:val="24"/>
          <w:lang w:eastAsia="en-GB"/>
        </w:rPr>
      </w:pPr>
      <w:r w:rsidRPr="00FF61AF">
        <w:rPr>
          <w:rFonts w:ascii="Arial" w:eastAsia="Times New Roman" w:hAnsi="Arial" w:cs="Arial"/>
          <w:sz w:val="24"/>
          <w:szCs w:val="24"/>
          <w:lang w:eastAsia="en-GB"/>
        </w:rPr>
        <w:t xml:space="preserve">A report on how the County Council intended to respond to the requirement for free school meals to be available for all primary school children. The report to also address any impact which the move may have had in relation to budgets connected with pupils with Special Educational Needs or Disabilities. </w:t>
      </w:r>
    </w:p>
    <w:p w:rsidR="00157CA9" w:rsidRPr="00FF61AF" w:rsidRDefault="00157CA9" w:rsidP="00157CA9">
      <w:pPr>
        <w:ind w:left="720"/>
        <w:rPr>
          <w:rFonts w:ascii="Arial" w:eastAsia="Times New Roman" w:hAnsi="Arial" w:cs="Arial"/>
          <w:sz w:val="24"/>
          <w:szCs w:val="24"/>
          <w:lang w:eastAsia="en-GB"/>
        </w:rPr>
      </w:pPr>
      <w:r w:rsidRPr="00FF61AF">
        <w:rPr>
          <w:rFonts w:ascii="Arial" w:eastAsia="Times New Roman" w:hAnsi="Arial" w:cs="Arial"/>
          <w:sz w:val="24"/>
          <w:szCs w:val="24"/>
          <w:lang w:eastAsia="en-GB"/>
        </w:rPr>
        <w:t>Briefing note attached at Annex 1</w:t>
      </w:r>
    </w:p>
    <w:p w:rsidR="00157CA9" w:rsidRPr="00157CA9" w:rsidRDefault="00157CA9" w:rsidP="00157CA9">
      <w:pPr>
        <w:ind w:left="720"/>
        <w:rPr>
          <w:rFonts w:ascii="Arial" w:eastAsia="Times New Roman" w:hAnsi="Arial" w:cs="Arial"/>
          <w:b/>
          <w:color w:val="FF0000"/>
          <w:sz w:val="24"/>
          <w:szCs w:val="24"/>
          <w:lang w:eastAsia="en-GB"/>
        </w:rPr>
      </w:pPr>
    </w:p>
    <w:p w:rsidR="00157CA9" w:rsidRPr="00157CA9" w:rsidRDefault="00157CA9" w:rsidP="00FF61AF">
      <w:pPr>
        <w:rPr>
          <w:rFonts w:ascii="Arial" w:eastAsia="Times New Roman" w:hAnsi="Arial" w:cs="Arial"/>
          <w:b/>
          <w:sz w:val="24"/>
          <w:szCs w:val="24"/>
          <w:lang w:eastAsia="en-GB"/>
        </w:rPr>
      </w:pPr>
      <w:r w:rsidRPr="00157CA9">
        <w:rPr>
          <w:rFonts w:ascii="Arial" w:eastAsia="Times New Roman" w:hAnsi="Arial" w:cs="Arial"/>
          <w:b/>
          <w:sz w:val="24"/>
          <w:szCs w:val="24"/>
          <w:lang w:eastAsia="en-GB"/>
        </w:rPr>
        <w:t xml:space="preserve">d) </w:t>
      </w:r>
      <w:r>
        <w:rPr>
          <w:rFonts w:ascii="Arial" w:eastAsia="Times New Roman" w:hAnsi="Arial" w:cs="Arial"/>
          <w:b/>
          <w:sz w:val="24"/>
          <w:szCs w:val="24"/>
          <w:lang w:eastAsia="en-GB"/>
        </w:rPr>
        <w:t xml:space="preserve"> </w:t>
      </w:r>
      <w:r w:rsidRPr="00157CA9">
        <w:rPr>
          <w:rFonts w:ascii="Arial" w:eastAsia="Times New Roman" w:hAnsi="Arial" w:cs="Arial"/>
          <w:b/>
          <w:sz w:val="24"/>
          <w:szCs w:val="24"/>
          <w:lang w:eastAsia="en-GB"/>
        </w:rPr>
        <w:t>A report on whether the use of selective licensing had led to an improvement in housing.</w:t>
      </w:r>
    </w:p>
    <w:p w:rsidR="00157CA9" w:rsidRPr="00FF61AF" w:rsidRDefault="00A954BA" w:rsidP="00157CA9">
      <w:pPr>
        <w:ind w:left="720"/>
        <w:rPr>
          <w:rFonts w:ascii="Arial" w:eastAsia="Times New Roman" w:hAnsi="Arial" w:cs="Arial"/>
          <w:sz w:val="24"/>
          <w:szCs w:val="24"/>
          <w:lang w:eastAsia="en-GB"/>
        </w:rPr>
      </w:pPr>
      <w:r>
        <w:rPr>
          <w:rFonts w:ascii="Arial" w:eastAsia="Times New Roman" w:hAnsi="Arial" w:cs="Arial"/>
          <w:sz w:val="24"/>
          <w:szCs w:val="24"/>
          <w:lang w:eastAsia="en-GB"/>
        </w:rPr>
        <w:t>Briefing note attached at Annex 1a</w:t>
      </w:r>
      <w:bookmarkStart w:id="0" w:name="_GoBack"/>
      <w:bookmarkEnd w:id="0"/>
    </w:p>
    <w:p w:rsidR="00157CA9" w:rsidRDefault="00157CA9" w:rsidP="00157CA9">
      <w:pPr>
        <w:ind w:left="720"/>
        <w:rPr>
          <w:rFonts w:ascii="Arial" w:eastAsia="Times New Roman" w:hAnsi="Arial" w:cs="Arial"/>
          <w:b/>
          <w:sz w:val="24"/>
          <w:szCs w:val="24"/>
          <w:lang w:eastAsia="en-GB"/>
        </w:rPr>
      </w:pPr>
    </w:p>
    <w:p w:rsidR="00BC0B88" w:rsidRPr="00157CA9" w:rsidRDefault="00BC0B88" w:rsidP="00157CA9">
      <w:pPr>
        <w:ind w:left="720"/>
        <w:rPr>
          <w:rFonts w:ascii="Arial" w:eastAsia="Times New Roman" w:hAnsi="Arial" w:cs="Arial"/>
          <w:b/>
          <w:sz w:val="24"/>
          <w:szCs w:val="24"/>
          <w:lang w:eastAsia="en-GB"/>
        </w:rPr>
      </w:pPr>
    </w:p>
    <w:p w:rsidR="00FF61AF" w:rsidRPr="00FF61AF" w:rsidRDefault="00157CA9" w:rsidP="00FF61AF">
      <w:pPr>
        <w:rPr>
          <w:rFonts w:ascii="Arial" w:hAnsi="Arial" w:cs="Arial"/>
          <w:b/>
          <w:sz w:val="24"/>
          <w:szCs w:val="24"/>
        </w:rPr>
      </w:pPr>
      <w:r w:rsidRPr="00157CA9">
        <w:rPr>
          <w:rFonts w:ascii="Arial" w:eastAsia="Times New Roman" w:hAnsi="Arial" w:cs="Arial"/>
          <w:b/>
          <w:sz w:val="24"/>
          <w:szCs w:val="24"/>
          <w:lang w:eastAsia="en-GB"/>
        </w:rPr>
        <w:lastRenderedPageBreak/>
        <w:t xml:space="preserve">e) </w:t>
      </w:r>
      <w:r>
        <w:rPr>
          <w:rFonts w:ascii="Arial" w:eastAsia="Times New Roman" w:hAnsi="Arial" w:cs="Arial"/>
          <w:b/>
          <w:sz w:val="24"/>
          <w:szCs w:val="24"/>
          <w:lang w:eastAsia="en-GB"/>
        </w:rPr>
        <w:t xml:space="preserve"> </w:t>
      </w:r>
      <w:r w:rsidR="00FF61AF">
        <w:rPr>
          <w:rFonts w:ascii="Arial" w:hAnsi="Arial" w:cs="Arial"/>
          <w:b/>
          <w:sz w:val="24"/>
          <w:szCs w:val="24"/>
        </w:rPr>
        <w:t xml:space="preserve">Update on Onshore Gas and Oil Operations </w:t>
      </w:r>
    </w:p>
    <w:p w:rsidR="00157CA9" w:rsidRPr="00FF61AF" w:rsidRDefault="00FF61AF" w:rsidP="00157CA9">
      <w:pPr>
        <w:ind w:left="720"/>
        <w:rPr>
          <w:rFonts w:ascii="Arial" w:eastAsia="Times New Roman" w:hAnsi="Arial" w:cs="Arial"/>
          <w:sz w:val="24"/>
          <w:szCs w:val="24"/>
          <w:lang w:eastAsia="en-GB"/>
        </w:rPr>
      </w:pPr>
      <w:r w:rsidRPr="00FF61AF">
        <w:rPr>
          <w:rFonts w:ascii="Arial" w:eastAsia="Times New Roman" w:hAnsi="Arial" w:cs="Arial"/>
          <w:sz w:val="24"/>
          <w:szCs w:val="24"/>
          <w:lang w:eastAsia="en-GB"/>
        </w:rPr>
        <w:t xml:space="preserve">An overview </w:t>
      </w:r>
      <w:r w:rsidR="00157CA9" w:rsidRPr="00FF61AF">
        <w:rPr>
          <w:rFonts w:ascii="Arial" w:eastAsia="Times New Roman" w:hAnsi="Arial" w:cs="Arial"/>
          <w:sz w:val="24"/>
          <w:szCs w:val="24"/>
          <w:lang w:eastAsia="en-GB"/>
        </w:rPr>
        <w:t xml:space="preserve">of developments across Lancashire with regard to the extraction of shale gas using the 'fracking' method and any specific proposals for such activities within the Borough. </w:t>
      </w:r>
    </w:p>
    <w:p w:rsidR="00157CA9" w:rsidRPr="00FF61AF" w:rsidRDefault="00157CA9" w:rsidP="00157CA9">
      <w:pPr>
        <w:ind w:left="720"/>
        <w:rPr>
          <w:rFonts w:ascii="Arial" w:eastAsia="Times New Roman" w:hAnsi="Arial" w:cs="Arial"/>
          <w:sz w:val="24"/>
          <w:szCs w:val="24"/>
          <w:lang w:eastAsia="en-GB"/>
        </w:rPr>
      </w:pPr>
      <w:r w:rsidRPr="00FF61AF">
        <w:rPr>
          <w:rFonts w:ascii="Arial" w:eastAsia="Times New Roman" w:hAnsi="Arial" w:cs="Arial"/>
          <w:sz w:val="24"/>
          <w:szCs w:val="24"/>
          <w:lang w:eastAsia="en-GB"/>
        </w:rPr>
        <w:t>Briefing note attached at Annex 2</w:t>
      </w:r>
    </w:p>
    <w:p w:rsidR="00157CA9" w:rsidRPr="00157CA9" w:rsidRDefault="00157CA9" w:rsidP="00157CA9">
      <w:pPr>
        <w:ind w:left="720"/>
        <w:rPr>
          <w:rFonts w:ascii="Arial" w:eastAsia="Times New Roman" w:hAnsi="Arial" w:cs="Arial"/>
          <w:b/>
          <w:sz w:val="24"/>
          <w:szCs w:val="24"/>
          <w:lang w:eastAsia="en-GB"/>
        </w:rPr>
      </w:pPr>
    </w:p>
    <w:p w:rsidR="00FF61AF" w:rsidRPr="00FF61AF" w:rsidRDefault="00157CA9" w:rsidP="00FF61AF">
      <w:pPr>
        <w:rPr>
          <w:b/>
          <w:sz w:val="28"/>
          <w:szCs w:val="28"/>
        </w:rPr>
      </w:pPr>
      <w:r w:rsidRPr="00157CA9">
        <w:rPr>
          <w:rFonts w:ascii="Arial" w:eastAsia="Times New Roman" w:hAnsi="Arial" w:cs="Arial"/>
          <w:b/>
          <w:sz w:val="24"/>
          <w:szCs w:val="24"/>
          <w:lang w:eastAsia="en-GB"/>
        </w:rPr>
        <w:t xml:space="preserve">f)  </w:t>
      </w:r>
      <w:r w:rsidR="00FF61AF">
        <w:rPr>
          <w:b/>
          <w:sz w:val="28"/>
          <w:szCs w:val="28"/>
        </w:rPr>
        <w:t>Department for Work and Pensions (DWP) Not in Employment, Education   or Training (NEET) Pilot</w:t>
      </w:r>
    </w:p>
    <w:p w:rsidR="00157CA9" w:rsidRPr="00FF61AF" w:rsidRDefault="00157CA9" w:rsidP="00157CA9">
      <w:pPr>
        <w:ind w:left="720"/>
        <w:rPr>
          <w:rFonts w:ascii="Arial" w:eastAsia="Times New Roman" w:hAnsi="Arial" w:cs="Arial"/>
          <w:sz w:val="24"/>
          <w:szCs w:val="24"/>
          <w:lang w:eastAsia="en-GB"/>
        </w:rPr>
      </w:pPr>
      <w:r w:rsidRPr="00FF61AF">
        <w:rPr>
          <w:rFonts w:ascii="Arial" w:eastAsia="Times New Roman" w:hAnsi="Arial" w:cs="Arial"/>
          <w:sz w:val="24"/>
          <w:szCs w:val="24"/>
          <w:lang w:eastAsia="en-GB"/>
        </w:rPr>
        <w:t xml:space="preserve">A report regarding on activities to support people who are Not in Education, Employment or Training (NEET) and also in relation to the 'Troubled Families' initiative. </w:t>
      </w:r>
    </w:p>
    <w:p w:rsidR="00157CA9" w:rsidRPr="00FF61AF" w:rsidRDefault="00157CA9" w:rsidP="00157CA9">
      <w:pPr>
        <w:ind w:left="720"/>
        <w:rPr>
          <w:rFonts w:ascii="Arial" w:eastAsia="Times New Roman" w:hAnsi="Arial" w:cs="Arial"/>
          <w:sz w:val="24"/>
          <w:szCs w:val="24"/>
          <w:lang w:eastAsia="en-GB"/>
        </w:rPr>
      </w:pPr>
      <w:r w:rsidRPr="00FF61AF">
        <w:rPr>
          <w:rFonts w:ascii="Arial" w:eastAsia="Times New Roman" w:hAnsi="Arial" w:cs="Arial"/>
          <w:sz w:val="24"/>
          <w:szCs w:val="24"/>
          <w:lang w:eastAsia="en-GB"/>
        </w:rPr>
        <w:t>Briefing note attached at Annex 3</w:t>
      </w:r>
    </w:p>
    <w:p w:rsidR="00157CA9" w:rsidRPr="00157CA9" w:rsidRDefault="00157CA9" w:rsidP="00157CA9">
      <w:pPr>
        <w:ind w:left="720"/>
        <w:rPr>
          <w:rFonts w:ascii="Arial" w:eastAsia="Times New Roman" w:hAnsi="Arial" w:cs="Arial"/>
          <w:b/>
          <w:sz w:val="24"/>
          <w:szCs w:val="24"/>
          <w:lang w:eastAsia="en-GB"/>
        </w:rPr>
      </w:pPr>
    </w:p>
    <w:p w:rsidR="00FF61AF" w:rsidRDefault="00157CA9" w:rsidP="00FF61AF">
      <w:pPr>
        <w:pStyle w:val="NoSpacing"/>
        <w:rPr>
          <w:rFonts w:ascii="Arial" w:hAnsi="Arial" w:cs="Arial"/>
          <w:b/>
        </w:rPr>
      </w:pPr>
      <w:r w:rsidRPr="00157CA9">
        <w:rPr>
          <w:rFonts w:ascii="Arial" w:eastAsia="Times New Roman" w:hAnsi="Arial" w:cs="Arial"/>
          <w:b/>
          <w:sz w:val="24"/>
          <w:szCs w:val="24"/>
          <w:lang w:eastAsia="en-GB"/>
        </w:rPr>
        <w:t xml:space="preserve">g)  </w:t>
      </w:r>
      <w:r w:rsidR="00FF61AF" w:rsidRPr="00FF61AF">
        <w:rPr>
          <w:rFonts w:ascii="Arial" w:hAnsi="Arial" w:cs="Arial"/>
          <w:b/>
        </w:rPr>
        <w:t>Child Sexual Exploitation (CSE) in Lancashire</w:t>
      </w:r>
    </w:p>
    <w:p w:rsidR="00FF61AF" w:rsidRPr="00FF61AF" w:rsidRDefault="00FF61AF" w:rsidP="00FF61AF">
      <w:pPr>
        <w:pStyle w:val="NoSpacing"/>
        <w:rPr>
          <w:rFonts w:ascii="Arial" w:hAnsi="Arial" w:cs="Arial"/>
          <w:b/>
          <w:u w:val="single"/>
        </w:rPr>
      </w:pPr>
    </w:p>
    <w:p w:rsidR="00157CA9" w:rsidRPr="00FF61AF" w:rsidRDefault="00157CA9" w:rsidP="00157CA9">
      <w:pPr>
        <w:ind w:left="720"/>
        <w:rPr>
          <w:rFonts w:ascii="Arial" w:hAnsi="Arial" w:cs="Arial"/>
          <w:sz w:val="24"/>
          <w:szCs w:val="24"/>
        </w:rPr>
      </w:pPr>
      <w:r w:rsidRPr="00FF61AF">
        <w:rPr>
          <w:rFonts w:ascii="Arial" w:eastAsia="Times New Roman" w:hAnsi="Arial" w:cs="Arial"/>
          <w:sz w:val="24"/>
          <w:szCs w:val="24"/>
          <w:lang w:eastAsia="en-GB"/>
        </w:rPr>
        <w:t>An overview of child sexual exploitation within Lancashire, including published statistics and details of the procedures for reporting concerns/incidents.</w:t>
      </w:r>
      <w:r w:rsidRPr="00FF61AF">
        <w:rPr>
          <w:rFonts w:ascii="Arial" w:hAnsi="Arial" w:cs="Arial"/>
          <w:sz w:val="24"/>
          <w:szCs w:val="24"/>
        </w:rPr>
        <w:t xml:space="preserve"> </w:t>
      </w:r>
    </w:p>
    <w:p w:rsidR="00157CA9" w:rsidRPr="00FF61AF" w:rsidRDefault="00157CA9" w:rsidP="00157CA9">
      <w:pPr>
        <w:ind w:left="720"/>
        <w:rPr>
          <w:rFonts w:ascii="Arial" w:eastAsia="Times New Roman" w:hAnsi="Arial" w:cs="Arial"/>
          <w:color w:val="FF0000"/>
          <w:sz w:val="24"/>
          <w:szCs w:val="24"/>
          <w:lang w:eastAsia="en-GB"/>
        </w:rPr>
      </w:pPr>
      <w:r w:rsidRPr="00FF61AF">
        <w:rPr>
          <w:rFonts w:ascii="Arial" w:hAnsi="Arial" w:cs="Arial"/>
          <w:sz w:val="24"/>
          <w:szCs w:val="24"/>
        </w:rPr>
        <w:t>Briefing note attached at Annex 4</w:t>
      </w:r>
    </w:p>
    <w:p w:rsidR="005D3035" w:rsidRPr="00157CA9" w:rsidRDefault="005D3035">
      <w:pPr>
        <w:rPr>
          <w:rFonts w:ascii="Arial" w:hAnsi="Arial" w:cs="Arial"/>
          <w:sz w:val="24"/>
          <w:szCs w:val="24"/>
        </w:rPr>
      </w:pPr>
    </w:p>
    <w:sectPr w:rsidR="005D3035" w:rsidRPr="00157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A9"/>
    <w:rsid w:val="00157CA9"/>
    <w:rsid w:val="00543452"/>
    <w:rsid w:val="005D3035"/>
    <w:rsid w:val="00A954BA"/>
    <w:rsid w:val="00BC0B88"/>
    <w:rsid w:val="00FF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A5F0-3F7C-4140-A523-D9757F31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
      <w:bodyDiv w:val="1"/>
      <w:marLeft w:val="0"/>
      <w:marRight w:val="0"/>
      <w:marTop w:val="0"/>
      <w:marBottom w:val="0"/>
      <w:divBdr>
        <w:top w:val="none" w:sz="0" w:space="0" w:color="auto"/>
        <w:left w:val="none" w:sz="0" w:space="0" w:color="auto"/>
        <w:bottom w:val="none" w:sz="0" w:space="0" w:color="auto"/>
        <w:right w:val="none" w:sz="0" w:space="0" w:color="auto"/>
      </w:divBdr>
    </w:div>
    <w:div w:id="170723605">
      <w:bodyDiv w:val="1"/>
      <w:marLeft w:val="0"/>
      <w:marRight w:val="0"/>
      <w:marTop w:val="0"/>
      <w:marBottom w:val="0"/>
      <w:divBdr>
        <w:top w:val="none" w:sz="0" w:space="0" w:color="auto"/>
        <w:left w:val="none" w:sz="0" w:space="0" w:color="auto"/>
        <w:bottom w:val="none" w:sz="0" w:space="0" w:color="auto"/>
        <w:right w:val="none" w:sz="0" w:space="0" w:color="auto"/>
      </w:divBdr>
    </w:div>
    <w:div w:id="1350183928">
      <w:bodyDiv w:val="1"/>
      <w:marLeft w:val="0"/>
      <w:marRight w:val="0"/>
      <w:marTop w:val="0"/>
      <w:marBottom w:val="0"/>
      <w:divBdr>
        <w:top w:val="none" w:sz="0" w:space="0" w:color="auto"/>
        <w:left w:val="none" w:sz="0" w:space="0" w:color="auto"/>
        <w:bottom w:val="none" w:sz="0" w:space="0" w:color="auto"/>
        <w:right w:val="none" w:sz="0" w:space="0" w:color="auto"/>
      </w:divBdr>
    </w:div>
    <w:div w:id="17430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Janet</dc:creator>
  <cp:keywords/>
  <dc:description/>
  <cp:lastModifiedBy>Mulligan, Janet</cp:lastModifiedBy>
  <cp:revision>5</cp:revision>
  <dcterms:created xsi:type="dcterms:W3CDTF">2014-11-12T08:55:00Z</dcterms:created>
  <dcterms:modified xsi:type="dcterms:W3CDTF">2014-11-19T15:35:00Z</dcterms:modified>
</cp:coreProperties>
</file>